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C06E" w14:textId="748C498F" w:rsidR="00150144" w:rsidRPr="008B1B25" w:rsidRDefault="008A021D" w:rsidP="00E43D77">
      <w:pPr>
        <w:pStyle w:val="Heading1"/>
        <w:spacing w:before="240"/>
        <w:rPr>
          <w:sz w:val="72"/>
          <w:szCs w:val="72"/>
        </w:rPr>
      </w:pPr>
      <w:r w:rsidRPr="008B1B25">
        <w:rPr>
          <w:rFonts w:ascii="Segoe Script" w:hAnsi="Segoe Script"/>
          <w:noProof/>
          <w:color w:val="FFFFFF" w:themeColor="background1"/>
          <w:sz w:val="72"/>
          <w:szCs w:val="72"/>
        </w:rPr>
        <w:drawing>
          <wp:anchor distT="0" distB="0" distL="114300" distR="114300" simplePos="0" relativeHeight="251659264" behindDoc="1" locked="0" layoutInCell="1" allowOverlap="1" wp14:anchorId="3B9C5FC8" wp14:editId="4EC35CF6">
            <wp:simplePos x="0" y="0"/>
            <wp:positionH relativeFrom="page">
              <wp:align>right</wp:align>
            </wp:positionH>
            <wp:positionV relativeFrom="topMargin">
              <wp:posOffset>7619</wp:posOffset>
            </wp:positionV>
            <wp:extent cx="7764780" cy="1620715"/>
            <wp:effectExtent l="0" t="0" r="762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4780" cy="1620715"/>
                    </a:xfrm>
                    <a:prstGeom prst="rect">
                      <a:avLst/>
                    </a:prstGeom>
                  </pic:spPr>
                </pic:pic>
              </a:graphicData>
            </a:graphic>
            <wp14:sizeRelH relativeFrom="margin">
              <wp14:pctWidth>0</wp14:pctWidth>
            </wp14:sizeRelH>
            <wp14:sizeRelV relativeFrom="margin">
              <wp14:pctHeight>0</wp14:pctHeight>
            </wp14:sizeRelV>
          </wp:anchor>
        </w:drawing>
      </w:r>
      <w:bookmarkStart w:id="0" w:name="_Hlk101943055"/>
      <w:r w:rsidR="00150144" w:rsidRPr="008B1B25">
        <w:rPr>
          <w:sz w:val="72"/>
          <w:szCs w:val="72"/>
        </w:rPr>
        <w:t>We’re Hiring</w:t>
      </w:r>
    </w:p>
    <w:p w14:paraId="64A57C41" w14:textId="135AED27" w:rsidR="005F13A5" w:rsidRPr="00E2245B" w:rsidRDefault="005F13A5" w:rsidP="002A7BDB">
      <w:pPr>
        <w:rPr>
          <w:sz w:val="24"/>
          <w:szCs w:val="24"/>
        </w:rPr>
      </w:pPr>
      <w:r w:rsidRPr="00E2245B">
        <w:rPr>
          <w:sz w:val="24"/>
          <w:szCs w:val="24"/>
        </w:rPr>
        <w:t xml:space="preserve">The </w:t>
      </w:r>
      <w:r w:rsidR="00DC3391" w:rsidRPr="00E2245B">
        <w:rPr>
          <w:sz w:val="24"/>
          <w:szCs w:val="24"/>
        </w:rPr>
        <w:t xml:space="preserve">Alaska </w:t>
      </w:r>
      <w:r w:rsidRPr="00E2245B">
        <w:rPr>
          <w:sz w:val="24"/>
          <w:szCs w:val="24"/>
        </w:rPr>
        <w:t xml:space="preserve">Department </w:t>
      </w:r>
      <w:r w:rsidR="00DC3391" w:rsidRPr="00E2245B">
        <w:rPr>
          <w:sz w:val="24"/>
          <w:szCs w:val="24"/>
        </w:rPr>
        <w:t xml:space="preserve">of Law, Civil Division </w:t>
      </w:r>
      <w:r w:rsidRPr="00E2245B">
        <w:rPr>
          <w:sz w:val="24"/>
          <w:szCs w:val="24"/>
        </w:rPr>
        <w:t xml:space="preserve">is looking for talented and hard-working attorneys to become members of our dynamic legal team working in a collegial, collaborative, and professionally inspiring workplace. </w:t>
      </w:r>
    </w:p>
    <w:p w14:paraId="77C242E3" w14:textId="7B2A3157" w:rsidR="00201511" w:rsidRPr="00E2245B" w:rsidRDefault="00201511" w:rsidP="00C05924">
      <w:pPr>
        <w:rPr>
          <w:sz w:val="24"/>
          <w:szCs w:val="24"/>
        </w:rPr>
      </w:pPr>
      <w:r w:rsidRPr="00E2245B">
        <w:rPr>
          <w:sz w:val="24"/>
          <w:szCs w:val="24"/>
        </w:rPr>
        <w:t xml:space="preserve">The Civil Division represents all executive branch agencies, </w:t>
      </w:r>
      <w:r w:rsidR="0094790B" w:rsidRPr="00E2245B">
        <w:rPr>
          <w:sz w:val="24"/>
          <w:szCs w:val="24"/>
        </w:rPr>
        <w:t>from</w:t>
      </w:r>
      <w:r w:rsidRPr="00E2245B">
        <w:rPr>
          <w:sz w:val="24"/>
          <w:szCs w:val="24"/>
        </w:rPr>
        <w:t xml:space="preserve"> offices throughout the state</w:t>
      </w:r>
      <w:r w:rsidR="00695C5F" w:rsidRPr="00E2245B">
        <w:rPr>
          <w:sz w:val="24"/>
          <w:szCs w:val="24"/>
        </w:rPr>
        <w:t>,</w:t>
      </w:r>
      <w:r w:rsidRPr="00E2245B">
        <w:rPr>
          <w:sz w:val="24"/>
          <w:szCs w:val="24"/>
        </w:rPr>
        <w:t xml:space="preserve"> working to serve the public interest in a variety of ways.</w:t>
      </w:r>
      <w:r w:rsidR="00B7423A" w:rsidRPr="00E2245B">
        <w:rPr>
          <w:sz w:val="24"/>
          <w:szCs w:val="24"/>
        </w:rPr>
        <w:t xml:space="preserve"> </w:t>
      </w:r>
      <w:r w:rsidRPr="00E2245B">
        <w:rPr>
          <w:sz w:val="24"/>
          <w:szCs w:val="24"/>
        </w:rPr>
        <w:t xml:space="preserve">For more information about the Department of Law, </w:t>
      </w:r>
      <w:r w:rsidR="0094790B" w:rsidRPr="00E2245B">
        <w:rPr>
          <w:sz w:val="24"/>
          <w:szCs w:val="24"/>
        </w:rPr>
        <w:t>including</w:t>
      </w:r>
      <w:r w:rsidR="0094790B" w:rsidRPr="00E2245B">
        <w:rPr>
          <w:color w:val="0070C0"/>
          <w:sz w:val="24"/>
          <w:szCs w:val="24"/>
        </w:rPr>
        <w:t xml:space="preserve"> </w:t>
      </w:r>
      <w:hyperlink r:id="rId9" w:tooltip="Civil Division section descriptions" w:history="1">
        <w:r w:rsidR="0094790B" w:rsidRPr="00E2245B">
          <w:rPr>
            <w:rStyle w:val="Hyperlink"/>
            <w:color w:val="0070C0"/>
            <w:sz w:val="24"/>
            <w:szCs w:val="24"/>
          </w:rPr>
          <w:t xml:space="preserve">a description of each </w:t>
        </w:r>
        <w:r w:rsidR="00DE13EF" w:rsidRPr="00E2245B">
          <w:rPr>
            <w:rStyle w:val="Hyperlink"/>
            <w:color w:val="0070C0"/>
            <w:sz w:val="24"/>
            <w:szCs w:val="24"/>
          </w:rPr>
          <w:t>Civil Division</w:t>
        </w:r>
        <w:r w:rsidR="0094790B" w:rsidRPr="00E2245B">
          <w:rPr>
            <w:rStyle w:val="Hyperlink"/>
            <w:color w:val="0070C0"/>
            <w:sz w:val="24"/>
            <w:szCs w:val="24"/>
          </w:rPr>
          <w:t xml:space="preserve"> section</w:t>
        </w:r>
      </w:hyperlink>
      <w:r w:rsidR="0094790B" w:rsidRPr="00E2245B">
        <w:rPr>
          <w:sz w:val="24"/>
          <w:szCs w:val="24"/>
        </w:rPr>
        <w:t xml:space="preserve">, </w:t>
      </w:r>
      <w:r w:rsidRPr="00E2245B">
        <w:rPr>
          <w:sz w:val="24"/>
          <w:szCs w:val="24"/>
        </w:rPr>
        <w:t xml:space="preserve">please visit our website at </w:t>
      </w:r>
      <w:hyperlink r:id="rId10" w:tooltip="Alaska Department of Law website" w:history="1">
        <w:r w:rsidRPr="00E2245B">
          <w:rPr>
            <w:rStyle w:val="Hyperlink"/>
            <w:color w:val="0070C0"/>
            <w:sz w:val="24"/>
            <w:szCs w:val="24"/>
          </w:rPr>
          <w:t>www.law.alaska.gov</w:t>
        </w:r>
      </w:hyperlink>
      <w:r w:rsidRPr="00E2245B">
        <w:rPr>
          <w:sz w:val="24"/>
          <w:szCs w:val="24"/>
        </w:rPr>
        <w:t>.</w:t>
      </w:r>
    </w:p>
    <w:p w14:paraId="728CE7E3" w14:textId="4A3B1497" w:rsidR="00F84C38" w:rsidRPr="00B7423A" w:rsidRDefault="00F84C38" w:rsidP="002A7BDB">
      <w:pPr>
        <w:pStyle w:val="Heading2"/>
      </w:pPr>
      <w:bookmarkStart w:id="1" w:name="_Available_Positions"/>
      <w:bookmarkEnd w:id="1"/>
      <w:r w:rsidRPr="00B7423A">
        <w:t xml:space="preserve">Available </w:t>
      </w:r>
      <w:r w:rsidRPr="002A7BDB">
        <w:t>Position</w:t>
      </w:r>
      <w:r w:rsidR="00C7192C" w:rsidRPr="00B7423A">
        <w:t xml:space="preserve"> – </w:t>
      </w:r>
      <w:r w:rsidR="00062C10">
        <w:t>Utility Regulation Attorney</w:t>
      </w:r>
    </w:p>
    <w:p w14:paraId="52EC4461" w14:textId="43E73920" w:rsidR="00062C10" w:rsidRPr="007337AD" w:rsidRDefault="00062C10" w:rsidP="002A7BDB">
      <w:pPr>
        <w:pStyle w:val="Heading2"/>
        <w:rPr>
          <w:rFonts w:cs="Open Sans"/>
          <w:color w:val="222222"/>
          <w:sz w:val="24"/>
          <w:szCs w:val="24"/>
          <w:shd w:val="clear" w:color="auto" w:fill="FFFFFF"/>
        </w:rPr>
      </w:pPr>
      <w:r w:rsidRPr="007337AD">
        <w:rPr>
          <w:rFonts w:cs="Open Sans"/>
          <w:color w:val="222222"/>
          <w:sz w:val="24"/>
          <w:szCs w:val="24"/>
          <w:shd w:val="clear" w:color="auto" w:fill="FFFFFF"/>
        </w:rPr>
        <w:t>The Commercial, Fair Business &amp; Child Support section is recruiting for an attorney to represent the Regulatory Commission of Alaska (RCA). The attorney filling this position will act as counsel for the RCA. The RCA is charged with regulating public utilities in the State of Alaska. The attorney in this position will be assigned primarily to 1) assist in providing legal advice to the commission on all matters under its jurisdiction, both in public meetings and in adjudications; 2) review the commission's orders for compliance with legal requirements; 3) assist in defending RCA orders on appeal and representing the RCA in court as may be required; 4) assist and advise the RCA in drafting regulations and in completing the legal review of regulations adopted by the RCA; and 5) assist in drafting or monitoring legislation related to the RCA or public utility regulation. The attorney may also provide advice and representation to other state agencies or boards served by the section.</w:t>
      </w:r>
      <w:r w:rsidR="007337AD" w:rsidRPr="007337AD">
        <w:rPr>
          <w:rFonts w:cs="Open Sans"/>
          <w:color w:val="222222"/>
          <w:sz w:val="24"/>
          <w:szCs w:val="24"/>
          <w:shd w:val="clear" w:color="auto" w:fill="FFFFFF"/>
        </w:rPr>
        <w:t xml:space="preserve"> This position can </w:t>
      </w:r>
      <w:proofErr w:type="gramStart"/>
      <w:r w:rsidR="007337AD" w:rsidRPr="007337AD">
        <w:rPr>
          <w:rFonts w:cs="Open Sans"/>
          <w:color w:val="222222"/>
          <w:sz w:val="24"/>
          <w:szCs w:val="24"/>
          <w:shd w:val="clear" w:color="auto" w:fill="FFFFFF"/>
        </w:rPr>
        <w:t>be located in</w:t>
      </w:r>
      <w:proofErr w:type="gramEnd"/>
      <w:r w:rsidR="007337AD" w:rsidRPr="007337AD">
        <w:rPr>
          <w:rFonts w:cs="Open Sans"/>
          <w:color w:val="222222"/>
          <w:sz w:val="24"/>
          <w:szCs w:val="24"/>
          <w:shd w:val="clear" w:color="auto" w:fill="FFFFFF"/>
        </w:rPr>
        <w:t xml:space="preserve"> either Anchorage or Juneau.  </w:t>
      </w:r>
    </w:p>
    <w:p w14:paraId="609030D4" w14:textId="4D08302E" w:rsidR="00360F00" w:rsidRPr="00B7423A" w:rsidRDefault="009F4B54" w:rsidP="002A7BDB">
      <w:pPr>
        <w:pStyle w:val="Heading2"/>
      </w:pPr>
      <w:r w:rsidRPr="00B7423A">
        <w:t xml:space="preserve">Desired </w:t>
      </w:r>
      <w:r w:rsidR="00714395" w:rsidRPr="002A7BDB">
        <w:t>Qualifications</w:t>
      </w:r>
      <w:r w:rsidR="00714395" w:rsidRPr="00B7423A">
        <w:t xml:space="preserve"> </w:t>
      </w:r>
    </w:p>
    <w:p w14:paraId="7BB4874A" w14:textId="77777777" w:rsidR="007337AD" w:rsidRPr="007337AD" w:rsidRDefault="007337AD" w:rsidP="002A7BDB">
      <w:pPr>
        <w:pStyle w:val="Heading2"/>
        <w:rPr>
          <w:rFonts w:cs="Open Sans"/>
          <w:color w:val="222222"/>
          <w:sz w:val="24"/>
          <w:szCs w:val="24"/>
          <w:shd w:val="clear" w:color="auto" w:fill="FFFFFF"/>
        </w:rPr>
      </w:pPr>
      <w:bookmarkStart w:id="2" w:name="_Salary_and_Benefits"/>
      <w:bookmarkEnd w:id="2"/>
      <w:r w:rsidRPr="007337AD">
        <w:rPr>
          <w:rFonts w:cs="Open Sans"/>
          <w:color w:val="222222"/>
          <w:sz w:val="24"/>
          <w:szCs w:val="24"/>
          <w:shd w:val="clear" w:color="auto" w:fill="FFFFFF"/>
        </w:rPr>
        <w:t xml:space="preserve">Prior experience in administrative adjudications, utilities regulation and ratemaking </w:t>
      </w:r>
      <w:proofErr w:type="gramStart"/>
      <w:r w:rsidRPr="007337AD">
        <w:rPr>
          <w:rFonts w:cs="Open Sans"/>
          <w:color w:val="222222"/>
          <w:sz w:val="24"/>
          <w:szCs w:val="24"/>
          <w:shd w:val="clear" w:color="auto" w:fill="FFFFFF"/>
        </w:rPr>
        <w:t>is</w:t>
      </w:r>
      <w:proofErr w:type="gramEnd"/>
      <w:r w:rsidRPr="007337AD">
        <w:rPr>
          <w:rFonts w:cs="Open Sans"/>
          <w:color w:val="222222"/>
          <w:sz w:val="24"/>
          <w:szCs w:val="24"/>
          <w:shd w:val="clear" w:color="auto" w:fill="FFFFFF"/>
        </w:rPr>
        <w:t xml:space="preserve"> highly desirable but not required. Strong writing and analytical skills are important, </w:t>
      </w:r>
      <w:proofErr w:type="gramStart"/>
      <w:r w:rsidRPr="007337AD">
        <w:rPr>
          <w:rFonts w:cs="Open Sans"/>
          <w:color w:val="222222"/>
          <w:sz w:val="24"/>
          <w:szCs w:val="24"/>
          <w:shd w:val="clear" w:color="auto" w:fill="FFFFFF"/>
        </w:rPr>
        <w:t>as well as,</w:t>
      </w:r>
      <w:proofErr w:type="gramEnd"/>
      <w:r w:rsidRPr="007337AD">
        <w:rPr>
          <w:rFonts w:cs="Open Sans"/>
          <w:color w:val="222222"/>
          <w:sz w:val="24"/>
          <w:szCs w:val="24"/>
          <w:shd w:val="clear" w:color="auto" w:fill="FFFFFF"/>
        </w:rPr>
        <w:t xml:space="preserve"> the ability to work closely with agency clients.</w:t>
      </w:r>
    </w:p>
    <w:p w14:paraId="290B0AD6" w14:textId="6D8AAA4F" w:rsidR="00714395" w:rsidRPr="00B7423A" w:rsidRDefault="00714395" w:rsidP="002A7BDB">
      <w:pPr>
        <w:pStyle w:val="Heading2"/>
      </w:pPr>
      <w:r w:rsidRPr="00B7423A">
        <w:t xml:space="preserve">Salary and </w:t>
      </w:r>
      <w:r w:rsidRPr="002A7BDB">
        <w:t>Benefits</w:t>
      </w:r>
    </w:p>
    <w:p w14:paraId="27AB6CD7" w14:textId="5C729B71" w:rsidR="00DE13EF" w:rsidRPr="00E2245B" w:rsidRDefault="00714395" w:rsidP="00FA7C98">
      <w:pPr>
        <w:shd w:val="clear" w:color="auto" w:fill="FFFFFF"/>
        <w:rPr>
          <w:color w:val="201F1E"/>
          <w:sz w:val="24"/>
          <w:szCs w:val="24"/>
          <w:bdr w:val="none" w:sz="0" w:space="0" w:color="auto" w:frame="1"/>
        </w:rPr>
      </w:pPr>
      <w:r w:rsidRPr="00E2245B">
        <w:rPr>
          <w:sz w:val="24"/>
          <w:szCs w:val="24"/>
          <w:lang w:val="en"/>
        </w:rPr>
        <w:t xml:space="preserve">Salary will depend upon the legal experience of the selected candidate. </w:t>
      </w:r>
      <w:r w:rsidR="007337AD">
        <w:rPr>
          <w:sz w:val="24"/>
          <w:szCs w:val="24"/>
          <w:lang w:val="en"/>
        </w:rPr>
        <w:t>The range for the salary is $</w:t>
      </w:r>
      <w:r w:rsidR="00AF00B0">
        <w:rPr>
          <w:sz w:val="24"/>
          <w:szCs w:val="24"/>
          <w:lang w:val="en"/>
        </w:rPr>
        <w:t xml:space="preserve">80,418-$128,242.00 based on licensed legal experience.  </w:t>
      </w:r>
    </w:p>
    <w:p w14:paraId="767B3750" w14:textId="77777777" w:rsidR="00714395" w:rsidRPr="00E2245B" w:rsidRDefault="005A6B35" w:rsidP="00C05924">
      <w:pPr>
        <w:pStyle w:val="Heading3"/>
        <w:rPr>
          <w:rFonts w:eastAsia="Calibri"/>
          <w:sz w:val="24"/>
          <w:lang w:val="en"/>
        </w:rPr>
      </w:pPr>
      <w:r w:rsidRPr="00E2245B">
        <w:rPr>
          <w:rFonts w:eastAsia="Calibri"/>
          <w:sz w:val="24"/>
          <w:lang w:val="en"/>
        </w:rPr>
        <w:t xml:space="preserve">Benefits </w:t>
      </w:r>
      <w:r w:rsidRPr="00E2245B">
        <w:rPr>
          <w:sz w:val="24"/>
        </w:rPr>
        <w:t>include</w:t>
      </w:r>
      <w:r w:rsidRPr="00E2245B">
        <w:rPr>
          <w:rFonts w:eastAsia="Calibri"/>
          <w:sz w:val="24"/>
          <w:lang w:val="en"/>
        </w:rPr>
        <w:t>:</w:t>
      </w:r>
    </w:p>
    <w:p w14:paraId="2CF64832" w14:textId="296240BD" w:rsidR="00B7423A" w:rsidRPr="00E2245B" w:rsidRDefault="00B7423A" w:rsidP="00B7423A">
      <w:pPr>
        <w:pStyle w:val="ListParagraph"/>
        <w:numPr>
          <w:ilvl w:val="0"/>
          <w:numId w:val="19"/>
        </w:numPr>
        <w:rPr>
          <w:sz w:val="24"/>
          <w:szCs w:val="24"/>
        </w:rPr>
      </w:pPr>
      <w:r w:rsidRPr="00E2245B">
        <w:rPr>
          <w:sz w:val="24"/>
          <w:szCs w:val="24"/>
          <w:shd w:val="clear" w:color="auto" w:fill="FFFFFF"/>
        </w:rPr>
        <w:t>37.5-hour workweek</w:t>
      </w:r>
    </w:p>
    <w:p w14:paraId="395A59EB" w14:textId="1742F2D2" w:rsidR="00BD1777" w:rsidRPr="00E2245B" w:rsidRDefault="00BD1777" w:rsidP="00B7423A">
      <w:pPr>
        <w:pStyle w:val="ListParagraph"/>
        <w:numPr>
          <w:ilvl w:val="0"/>
          <w:numId w:val="19"/>
        </w:numPr>
        <w:rPr>
          <w:sz w:val="24"/>
          <w:szCs w:val="24"/>
        </w:rPr>
      </w:pPr>
      <w:r w:rsidRPr="00E2245B">
        <w:rPr>
          <w:sz w:val="24"/>
          <w:szCs w:val="24"/>
          <w:shd w:val="clear" w:color="auto" w:fill="FFFFFF"/>
        </w:rPr>
        <w:t>Eligibility for part-time teleworking, alternate workweek, or a flex schedule after an initial training period</w:t>
      </w:r>
    </w:p>
    <w:p w14:paraId="01A3501C" w14:textId="057B12AA" w:rsidR="00BD1777" w:rsidRPr="00E2245B" w:rsidRDefault="00BD1777" w:rsidP="00BD1777">
      <w:pPr>
        <w:pStyle w:val="ListParagraph"/>
        <w:numPr>
          <w:ilvl w:val="0"/>
          <w:numId w:val="19"/>
        </w:numPr>
        <w:rPr>
          <w:b/>
          <w:bCs/>
          <w:sz w:val="24"/>
          <w:szCs w:val="24"/>
        </w:rPr>
      </w:pPr>
      <w:r w:rsidRPr="00E2245B">
        <w:rPr>
          <w:b/>
          <w:bCs/>
          <w:sz w:val="24"/>
          <w:szCs w:val="24"/>
          <w:shd w:val="clear" w:color="auto" w:fill="FFFFFF"/>
        </w:rPr>
        <w:t xml:space="preserve">Potential eligibility for student loan forgiveness through the </w:t>
      </w:r>
      <w:hyperlink r:id="rId11" w:tooltip="Federal Student Aid: Public Service Loan Forgiveness" w:history="1">
        <w:r w:rsidRPr="00E2245B">
          <w:rPr>
            <w:rStyle w:val="Hyperlink"/>
            <w:b/>
            <w:bCs/>
            <w:color w:val="auto"/>
            <w:sz w:val="24"/>
            <w:szCs w:val="24"/>
            <w:shd w:val="clear" w:color="auto" w:fill="FFFFFF"/>
          </w:rPr>
          <w:t>Public Loan Forgiveness Program</w:t>
        </w:r>
      </w:hyperlink>
      <w:r w:rsidRPr="00E2245B">
        <w:rPr>
          <w:b/>
          <w:bCs/>
          <w:sz w:val="24"/>
          <w:szCs w:val="24"/>
          <w:shd w:val="clear" w:color="auto" w:fill="FFFFFF"/>
        </w:rPr>
        <w:t> </w:t>
      </w:r>
    </w:p>
    <w:p w14:paraId="7005F5A4" w14:textId="056909F5" w:rsidR="005A6B35" w:rsidRPr="00E2245B" w:rsidRDefault="000045DF" w:rsidP="00150144">
      <w:pPr>
        <w:pStyle w:val="ListParagraph"/>
        <w:numPr>
          <w:ilvl w:val="0"/>
          <w:numId w:val="19"/>
        </w:numPr>
        <w:rPr>
          <w:rStyle w:val="Hyperlink"/>
          <w:color w:val="auto"/>
          <w:sz w:val="24"/>
          <w:szCs w:val="24"/>
        </w:rPr>
      </w:pPr>
      <w:r w:rsidRPr="00E2245B">
        <w:rPr>
          <w:sz w:val="24"/>
          <w:szCs w:val="24"/>
          <w:shd w:val="clear" w:color="auto" w:fill="FFFFFF"/>
        </w:rPr>
        <w:fldChar w:fldCharType="begin"/>
      </w:r>
      <w:r w:rsidRPr="00E2245B">
        <w:rPr>
          <w:sz w:val="24"/>
          <w:szCs w:val="24"/>
          <w:shd w:val="clear" w:color="auto" w:fill="FFFFFF"/>
        </w:rPr>
        <w:instrText>HYPERLINK "https://doa.alaska.gov/drb/benefits/employee/" \o "Division of Retirement &amp; Benefits: Employee Benefits"</w:instrText>
      </w:r>
      <w:r w:rsidRPr="00E2245B">
        <w:rPr>
          <w:sz w:val="24"/>
          <w:szCs w:val="24"/>
          <w:shd w:val="clear" w:color="auto" w:fill="FFFFFF"/>
        </w:rPr>
      </w:r>
      <w:r w:rsidRPr="00E2245B">
        <w:rPr>
          <w:sz w:val="24"/>
          <w:szCs w:val="24"/>
          <w:shd w:val="clear" w:color="auto" w:fill="FFFFFF"/>
        </w:rPr>
        <w:fldChar w:fldCharType="separate"/>
      </w:r>
      <w:r w:rsidR="005A6B35" w:rsidRPr="00E2245B">
        <w:rPr>
          <w:rStyle w:val="Hyperlink"/>
          <w:color w:val="auto"/>
          <w:sz w:val="24"/>
          <w:szCs w:val="24"/>
          <w:shd w:val="clear" w:color="auto" w:fill="FFFFFF"/>
        </w:rPr>
        <w:t xml:space="preserve">Health </w:t>
      </w:r>
      <w:r w:rsidRPr="00E2245B">
        <w:rPr>
          <w:rStyle w:val="Hyperlink"/>
          <w:color w:val="auto"/>
          <w:sz w:val="24"/>
          <w:szCs w:val="24"/>
          <w:shd w:val="clear" w:color="auto" w:fill="FFFFFF"/>
        </w:rPr>
        <w:t>benefits, life insurance</w:t>
      </w:r>
      <w:r w:rsidR="00E176F6">
        <w:rPr>
          <w:rStyle w:val="Hyperlink"/>
          <w:color w:val="auto"/>
          <w:sz w:val="24"/>
          <w:szCs w:val="24"/>
          <w:shd w:val="clear" w:color="auto" w:fill="FFFFFF"/>
        </w:rPr>
        <w:t>,</w:t>
      </w:r>
      <w:r w:rsidRPr="00E2245B">
        <w:rPr>
          <w:rStyle w:val="Hyperlink"/>
          <w:color w:val="auto"/>
          <w:sz w:val="24"/>
          <w:szCs w:val="24"/>
          <w:shd w:val="clear" w:color="auto" w:fill="FFFFFF"/>
        </w:rPr>
        <w:t xml:space="preserve"> and voluntary supplemental benefits</w:t>
      </w:r>
    </w:p>
    <w:p w14:paraId="2FAD7EE7" w14:textId="77777777" w:rsidR="005A6B35" w:rsidRPr="00E2245B" w:rsidRDefault="000045DF" w:rsidP="00150144">
      <w:pPr>
        <w:pStyle w:val="ListParagraph"/>
        <w:numPr>
          <w:ilvl w:val="0"/>
          <w:numId w:val="19"/>
        </w:numPr>
        <w:rPr>
          <w:rStyle w:val="Hyperlink"/>
          <w:color w:val="auto"/>
          <w:sz w:val="24"/>
          <w:szCs w:val="24"/>
        </w:rPr>
      </w:pPr>
      <w:r w:rsidRPr="00E2245B">
        <w:rPr>
          <w:sz w:val="24"/>
          <w:szCs w:val="24"/>
          <w:shd w:val="clear" w:color="auto" w:fill="FFFFFF"/>
        </w:rPr>
        <w:fldChar w:fldCharType="end"/>
      </w:r>
      <w:r w:rsidR="002A33FD" w:rsidRPr="00E2245B">
        <w:rPr>
          <w:sz w:val="24"/>
          <w:szCs w:val="24"/>
          <w:shd w:val="clear" w:color="auto" w:fill="FFFFFF"/>
        </w:rPr>
        <w:fldChar w:fldCharType="begin"/>
      </w:r>
      <w:r w:rsidR="002A33FD" w:rsidRPr="00E2245B">
        <w:rPr>
          <w:sz w:val="24"/>
          <w:szCs w:val="24"/>
          <w:shd w:val="clear" w:color="auto" w:fill="FFFFFF"/>
        </w:rPr>
        <w:instrText>HYPERLINK "http://doa.alaska.gov/dof/manuals/aam/resource/280.pdf" \l "page=3" \o "AAM 280. LEAVE ACCOUNTING"</w:instrText>
      </w:r>
      <w:r w:rsidR="002A33FD" w:rsidRPr="00E2245B">
        <w:rPr>
          <w:sz w:val="24"/>
          <w:szCs w:val="24"/>
          <w:shd w:val="clear" w:color="auto" w:fill="FFFFFF"/>
        </w:rPr>
      </w:r>
      <w:r w:rsidR="002A33FD" w:rsidRPr="00E2245B">
        <w:rPr>
          <w:sz w:val="24"/>
          <w:szCs w:val="24"/>
          <w:shd w:val="clear" w:color="auto" w:fill="FFFFFF"/>
        </w:rPr>
        <w:fldChar w:fldCharType="separate"/>
      </w:r>
      <w:r w:rsidR="005A6B35" w:rsidRPr="00E2245B">
        <w:rPr>
          <w:rStyle w:val="Hyperlink"/>
          <w:color w:val="auto"/>
          <w:sz w:val="24"/>
          <w:szCs w:val="24"/>
          <w:shd w:val="clear" w:color="auto" w:fill="FFFFFF"/>
        </w:rPr>
        <w:t>Generous leave accrual</w:t>
      </w:r>
    </w:p>
    <w:p w14:paraId="2DEA342B" w14:textId="77777777" w:rsidR="005A6B35" w:rsidRPr="00E2245B" w:rsidRDefault="002A33FD" w:rsidP="00150144">
      <w:pPr>
        <w:pStyle w:val="ListParagraph"/>
        <w:numPr>
          <w:ilvl w:val="0"/>
          <w:numId w:val="19"/>
        </w:numPr>
        <w:rPr>
          <w:sz w:val="24"/>
          <w:szCs w:val="24"/>
        </w:rPr>
      </w:pPr>
      <w:r w:rsidRPr="00E2245B">
        <w:rPr>
          <w:sz w:val="24"/>
          <w:szCs w:val="24"/>
          <w:shd w:val="clear" w:color="auto" w:fill="FFFFFF"/>
        </w:rPr>
        <w:fldChar w:fldCharType="end"/>
      </w:r>
      <w:hyperlink r:id="rId12" w:tooltip="State of Alaska Calendars" w:history="1">
        <w:r w:rsidR="005A6B35" w:rsidRPr="00E2245B">
          <w:rPr>
            <w:rStyle w:val="Hyperlink"/>
            <w:color w:val="auto"/>
            <w:sz w:val="24"/>
            <w:szCs w:val="24"/>
            <w:shd w:val="clear" w:color="auto" w:fill="FFFFFF"/>
          </w:rPr>
          <w:t>11 paid holidays</w:t>
        </w:r>
      </w:hyperlink>
    </w:p>
    <w:p w14:paraId="0CE01DB5" w14:textId="77777777" w:rsidR="005A6B35" w:rsidRPr="00E2245B" w:rsidRDefault="00000000" w:rsidP="00150144">
      <w:pPr>
        <w:pStyle w:val="ListParagraph"/>
        <w:numPr>
          <w:ilvl w:val="0"/>
          <w:numId w:val="19"/>
        </w:numPr>
        <w:rPr>
          <w:sz w:val="24"/>
          <w:szCs w:val="24"/>
        </w:rPr>
      </w:pPr>
      <w:hyperlink r:id="rId13" w:anchor=".YjEFjnrMKMo" w:tooltip="Division of Retirement &amp; Benefits: Retirement" w:history="1">
        <w:r w:rsidR="005A6B35" w:rsidRPr="00E2245B">
          <w:rPr>
            <w:rStyle w:val="Hyperlink"/>
            <w:color w:val="auto"/>
            <w:sz w:val="24"/>
            <w:szCs w:val="24"/>
            <w:shd w:val="clear" w:color="auto" w:fill="FFFFFF"/>
          </w:rPr>
          <w:t>A variety of retirement plans</w:t>
        </w:r>
      </w:hyperlink>
    </w:p>
    <w:p w14:paraId="6D4C2594" w14:textId="77777777" w:rsidR="00714395" w:rsidRPr="00BD1777" w:rsidRDefault="00714395" w:rsidP="002A7BDB">
      <w:pPr>
        <w:pStyle w:val="Heading2"/>
      </w:pPr>
      <w:bookmarkStart w:id="3" w:name="_Application_Instructions"/>
      <w:bookmarkEnd w:id="3"/>
      <w:r w:rsidRPr="00BD1777">
        <w:t xml:space="preserve">Application </w:t>
      </w:r>
      <w:r w:rsidRPr="002A7BDB">
        <w:t>Instructions</w:t>
      </w:r>
    </w:p>
    <w:p w14:paraId="4C8A7143" w14:textId="7E6A104B" w:rsidR="002A7BDB" w:rsidRPr="00E2245B" w:rsidRDefault="00BD1777" w:rsidP="00C05924">
      <w:pPr>
        <w:rPr>
          <w:b/>
          <w:sz w:val="24"/>
          <w:szCs w:val="24"/>
        </w:rPr>
      </w:pPr>
      <w:r w:rsidRPr="00E2245B">
        <w:rPr>
          <w:sz w:val="24"/>
          <w:szCs w:val="24"/>
        </w:rPr>
        <w:t>To apply</w:t>
      </w:r>
      <w:r w:rsidR="00460D7B">
        <w:rPr>
          <w:sz w:val="24"/>
          <w:szCs w:val="24"/>
        </w:rPr>
        <w:t>,</w:t>
      </w:r>
      <w:r w:rsidRPr="00E2245B">
        <w:rPr>
          <w:sz w:val="24"/>
          <w:szCs w:val="24"/>
        </w:rPr>
        <w:t xml:space="preserve"> please submit: a cover letter, resume, three professional employment references, and a writing sample.</w:t>
      </w:r>
    </w:p>
    <w:p w14:paraId="35CB3526" w14:textId="1813D977" w:rsidR="00714395" w:rsidRPr="00E2245B" w:rsidRDefault="005A1348" w:rsidP="00C05924">
      <w:pPr>
        <w:rPr>
          <w:b/>
          <w:sz w:val="24"/>
          <w:szCs w:val="24"/>
        </w:rPr>
      </w:pPr>
      <w:r w:rsidRPr="00E2245B">
        <w:rPr>
          <w:b/>
          <w:bCs/>
          <w:sz w:val="24"/>
          <w:szCs w:val="24"/>
        </w:rPr>
        <w:t>Email applications</w:t>
      </w:r>
      <w:r w:rsidR="00714395" w:rsidRPr="00E2245B">
        <w:rPr>
          <w:b/>
          <w:bCs/>
          <w:sz w:val="24"/>
          <w:szCs w:val="24"/>
        </w:rPr>
        <w:t xml:space="preserve"> to</w:t>
      </w:r>
      <w:r w:rsidR="00714395" w:rsidRPr="00E2245B">
        <w:rPr>
          <w:sz w:val="24"/>
          <w:szCs w:val="24"/>
        </w:rPr>
        <w:t xml:space="preserve"> </w:t>
      </w:r>
      <w:hyperlink r:id="rId14" w:history="1">
        <w:r w:rsidR="00714395" w:rsidRPr="00E2245B">
          <w:rPr>
            <w:color w:val="0000FF"/>
            <w:sz w:val="24"/>
            <w:szCs w:val="24"/>
          </w:rPr>
          <w:t>civil.recruit@alaska.gov</w:t>
        </w:r>
      </w:hyperlink>
      <w:r w:rsidR="00714395" w:rsidRPr="00E2245B">
        <w:rPr>
          <w:sz w:val="24"/>
          <w:szCs w:val="24"/>
        </w:rPr>
        <w:t xml:space="preserve"> (with the subject line “application for current attorney recruitment”) or mail or hand-deliver to:</w:t>
      </w:r>
    </w:p>
    <w:p w14:paraId="4FC2CC1E" w14:textId="3F890252" w:rsidR="00714395" w:rsidRPr="00E2245B" w:rsidRDefault="00714395" w:rsidP="00714395">
      <w:pPr>
        <w:jc w:val="center"/>
        <w:rPr>
          <w:sz w:val="24"/>
          <w:szCs w:val="24"/>
        </w:rPr>
      </w:pPr>
      <w:r w:rsidRPr="00E2245B">
        <w:rPr>
          <w:sz w:val="24"/>
          <w:szCs w:val="24"/>
        </w:rPr>
        <w:t>Office of the Attorney General</w:t>
      </w:r>
      <w:r w:rsidR="00460D7B">
        <w:rPr>
          <w:sz w:val="24"/>
          <w:szCs w:val="24"/>
        </w:rPr>
        <w:br/>
        <w:t>Attn: Recruitment</w:t>
      </w:r>
      <w:r w:rsidR="00360F00" w:rsidRPr="00E2245B">
        <w:rPr>
          <w:sz w:val="24"/>
          <w:szCs w:val="24"/>
        </w:rPr>
        <w:br/>
      </w:r>
      <w:r w:rsidRPr="00E2245B">
        <w:rPr>
          <w:sz w:val="24"/>
          <w:szCs w:val="24"/>
        </w:rPr>
        <w:t>1031 W 4</w:t>
      </w:r>
      <w:r w:rsidRPr="00E2245B">
        <w:rPr>
          <w:sz w:val="24"/>
          <w:szCs w:val="24"/>
          <w:vertAlign w:val="superscript"/>
        </w:rPr>
        <w:t>th</w:t>
      </w:r>
      <w:r w:rsidRPr="00E2245B">
        <w:rPr>
          <w:sz w:val="24"/>
          <w:szCs w:val="24"/>
        </w:rPr>
        <w:t xml:space="preserve"> Avenue, Suite 200</w:t>
      </w:r>
      <w:r w:rsidR="00360F00" w:rsidRPr="00E2245B">
        <w:rPr>
          <w:sz w:val="24"/>
          <w:szCs w:val="24"/>
        </w:rPr>
        <w:br/>
      </w:r>
      <w:r w:rsidRPr="00E2245B">
        <w:rPr>
          <w:sz w:val="24"/>
          <w:szCs w:val="24"/>
        </w:rPr>
        <w:t>Anchorage, AK  99501</w:t>
      </w:r>
    </w:p>
    <w:p w14:paraId="7F1D8884" w14:textId="77777777" w:rsidR="00714395" w:rsidRPr="00E2245B" w:rsidRDefault="00714395" w:rsidP="00714395">
      <w:pPr>
        <w:rPr>
          <w:sz w:val="24"/>
          <w:szCs w:val="24"/>
        </w:rPr>
      </w:pPr>
      <w:r w:rsidRPr="00E2245B">
        <w:rPr>
          <w:sz w:val="24"/>
          <w:szCs w:val="24"/>
        </w:rPr>
        <w:t>All interested and qualified applicants will be considered, but not every applicant will be interviewed.</w:t>
      </w:r>
    </w:p>
    <w:p w14:paraId="2B0B2631" w14:textId="77777777" w:rsidR="00675191" w:rsidRPr="00E2245B" w:rsidRDefault="00714395" w:rsidP="00714395">
      <w:pPr>
        <w:rPr>
          <w:sz w:val="24"/>
          <w:szCs w:val="24"/>
        </w:rPr>
      </w:pPr>
      <w:r w:rsidRPr="00E2245B">
        <w:rPr>
          <w:sz w:val="24"/>
          <w:szCs w:val="24"/>
        </w:rPr>
        <w:t xml:space="preserve">The Department of Law is an equal opportunity employer and complies with Title I of the American with Disabilities Act. Applicants who need accommodation to apply may call Kelly West at the department’s Anchorage office (907) 269-5101 or Relay Alaska at 1-800-770-8973. </w:t>
      </w:r>
      <w:bookmarkEnd w:id="0"/>
    </w:p>
    <w:sectPr w:rsidR="00675191" w:rsidRPr="00E2245B" w:rsidSect="00F91B1F">
      <w:headerReference w:type="first" r:id="rId15"/>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D3BE" w14:textId="77777777" w:rsidR="00633221" w:rsidRDefault="00633221" w:rsidP="00F16D99">
      <w:pPr>
        <w:spacing w:after="0" w:line="240" w:lineRule="auto"/>
      </w:pPr>
      <w:r>
        <w:separator/>
      </w:r>
    </w:p>
  </w:endnote>
  <w:endnote w:type="continuationSeparator" w:id="0">
    <w:p w14:paraId="521A6512" w14:textId="77777777" w:rsidR="00633221" w:rsidRDefault="00633221" w:rsidP="00F1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4AD1" w14:textId="77777777" w:rsidR="00633221" w:rsidRDefault="00633221" w:rsidP="00F16D99">
      <w:pPr>
        <w:spacing w:after="0" w:line="240" w:lineRule="auto"/>
      </w:pPr>
      <w:r>
        <w:separator/>
      </w:r>
    </w:p>
  </w:footnote>
  <w:footnote w:type="continuationSeparator" w:id="0">
    <w:p w14:paraId="4AE4C7AD" w14:textId="77777777" w:rsidR="00633221" w:rsidRDefault="00633221" w:rsidP="00F1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B1A5" w14:textId="1C379432" w:rsidR="00F91B1F" w:rsidRPr="00150144" w:rsidRDefault="00F91B1F" w:rsidP="008A021D">
    <w:pPr>
      <w:spacing w:before="400" w:line="180" w:lineRule="exact"/>
      <w:ind w:right="-1440"/>
      <w:rPr>
        <w:rFonts w:ascii="Segoe Script" w:hAnsi="Segoe Script"/>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46pt;height:546pt;visibility:visible;mso-wrap-style:square" o:bullet="t">
        <v:imagedata r:id="rId1" o:title=""/>
      </v:shape>
    </w:pict>
  </w:numPicBullet>
  <w:abstractNum w:abstractNumId="0" w15:restartNumberingAfterBreak="0">
    <w:nsid w:val="08D20686"/>
    <w:multiLevelType w:val="hybridMultilevel"/>
    <w:tmpl w:val="0C02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01C"/>
    <w:multiLevelType w:val="hybridMultilevel"/>
    <w:tmpl w:val="C3342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4205D"/>
    <w:multiLevelType w:val="hybridMultilevel"/>
    <w:tmpl w:val="83A2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420F"/>
    <w:multiLevelType w:val="hybridMultilevel"/>
    <w:tmpl w:val="FEBAA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9709E"/>
    <w:multiLevelType w:val="hybridMultilevel"/>
    <w:tmpl w:val="56E0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F400E"/>
    <w:multiLevelType w:val="hybridMultilevel"/>
    <w:tmpl w:val="397C9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40FCF"/>
    <w:multiLevelType w:val="hybridMultilevel"/>
    <w:tmpl w:val="5A5024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50C566A2"/>
    <w:multiLevelType w:val="hybridMultilevel"/>
    <w:tmpl w:val="27CC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1602"/>
    <w:multiLevelType w:val="hybridMultilevel"/>
    <w:tmpl w:val="098A3E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A2D2E25"/>
    <w:multiLevelType w:val="hybridMultilevel"/>
    <w:tmpl w:val="F23A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E0DBE"/>
    <w:multiLevelType w:val="hybridMultilevel"/>
    <w:tmpl w:val="A7E80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46BDE"/>
    <w:multiLevelType w:val="hybridMultilevel"/>
    <w:tmpl w:val="F23A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52B1C"/>
    <w:multiLevelType w:val="hybridMultilevel"/>
    <w:tmpl w:val="245A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70BB7"/>
    <w:multiLevelType w:val="hybridMultilevel"/>
    <w:tmpl w:val="54363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D31A2"/>
    <w:multiLevelType w:val="hybridMultilevel"/>
    <w:tmpl w:val="6D14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F0728"/>
    <w:multiLevelType w:val="hybridMultilevel"/>
    <w:tmpl w:val="9754E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A4D6D"/>
    <w:multiLevelType w:val="hybridMultilevel"/>
    <w:tmpl w:val="E288FF80"/>
    <w:lvl w:ilvl="0" w:tplc="85105612">
      <w:start w:val="1"/>
      <w:numFmt w:val="decimal"/>
      <w:lvlText w:val="%1."/>
      <w:lvlJc w:val="left"/>
      <w:pPr>
        <w:ind w:left="720" w:hanging="360"/>
      </w:pPr>
      <w:rPr>
        <w:rFonts w:ascii="Cambria" w:hAnsi="Cambria"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648D3"/>
    <w:multiLevelType w:val="hybridMultilevel"/>
    <w:tmpl w:val="589E3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F2F36"/>
    <w:multiLevelType w:val="hybridMultilevel"/>
    <w:tmpl w:val="EC60D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440642">
    <w:abstractNumId w:val="6"/>
  </w:num>
  <w:num w:numId="2" w16cid:durableId="1751537023">
    <w:abstractNumId w:val="14"/>
  </w:num>
  <w:num w:numId="3" w16cid:durableId="1161851884">
    <w:abstractNumId w:val="8"/>
  </w:num>
  <w:num w:numId="4" w16cid:durableId="674500049">
    <w:abstractNumId w:val="18"/>
  </w:num>
  <w:num w:numId="5" w16cid:durableId="1573077373">
    <w:abstractNumId w:val="10"/>
  </w:num>
  <w:num w:numId="6" w16cid:durableId="1613825940">
    <w:abstractNumId w:val="17"/>
  </w:num>
  <w:num w:numId="7" w16cid:durableId="1258371219">
    <w:abstractNumId w:val="0"/>
  </w:num>
  <w:num w:numId="8" w16cid:durableId="1915511451">
    <w:abstractNumId w:val="11"/>
  </w:num>
  <w:num w:numId="9" w16cid:durableId="723792828">
    <w:abstractNumId w:val="15"/>
  </w:num>
  <w:num w:numId="10" w16cid:durableId="1287738034">
    <w:abstractNumId w:val="5"/>
  </w:num>
  <w:num w:numId="11" w16cid:durableId="244655872">
    <w:abstractNumId w:val="1"/>
  </w:num>
  <w:num w:numId="12" w16cid:durableId="1150365802">
    <w:abstractNumId w:val="13"/>
  </w:num>
  <w:num w:numId="13" w16cid:durableId="582035849">
    <w:abstractNumId w:val="12"/>
  </w:num>
  <w:num w:numId="14" w16cid:durableId="952443362">
    <w:abstractNumId w:val="7"/>
  </w:num>
  <w:num w:numId="15" w16cid:durableId="824978055">
    <w:abstractNumId w:val="3"/>
  </w:num>
  <w:num w:numId="16" w16cid:durableId="1558710801">
    <w:abstractNumId w:val="4"/>
  </w:num>
  <w:num w:numId="17" w16cid:durableId="1962953838">
    <w:abstractNumId w:val="2"/>
  </w:num>
  <w:num w:numId="18" w16cid:durableId="1211376923">
    <w:abstractNumId w:val="9"/>
  </w:num>
  <w:num w:numId="19" w16cid:durableId="533884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B5"/>
    <w:rsid w:val="000045DF"/>
    <w:rsid w:val="00062C10"/>
    <w:rsid w:val="00073237"/>
    <w:rsid w:val="00104F73"/>
    <w:rsid w:val="00110AF5"/>
    <w:rsid w:val="00121C6F"/>
    <w:rsid w:val="00150144"/>
    <w:rsid w:val="00192B9B"/>
    <w:rsid w:val="001D7898"/>
    <w:rsid w:val="001E551D"/>
    <w:rsid w:val="00201511"/>
    <w:rsid w:val="00260294"/>
    <w:rsid w:val="002650DF"/>
    <w:rsid w:val="002834E4"/>
    <w:rsid w:val="002A33FD"/>
    <w:rsid w:val="002A7BDB"/>
    <w:rsid w:val="0030232F"/>
    <w:rsid w:val="0030576A"/>
    <w:rsid w:val="003247F4"/>
    <w:rsid w:val="00360F00"/>
    <w:rsid w:val="00371EB5"/>
    <w:rsid w:val="003932DC"/>
    <w:rsid w:val="003D6C27"/>
    <w:rsid w:val="003F0705"/>
    <w:rsid w:val="00437037"/>
    <w:rsid w:val="004433E2"/>
    <w:rsid w:val="00447276"/>
    <w:rsid w:val="00460D7B"/>
    <w:rsid w:val="004B6E5D"/>
    <w:rsid w:val="004E3FB0"/>
    <w:rsid w:val="004F03C5"/>
    <w:rsid w:val="004F0783"/>
    <w:rsid w:val="004F43D0"/>
    <w:rsid w:val="00514079"/>
    <w:rsid w:val="00535322"/>
    <w:rsid w:val="00554EAB"/>
    <w:rsid w:val="00562D22"/>
    <w:rsid w:val="005752EF"/>
    <w:rsid w:val="00586A19"/>
    <w:rsid w:val="005A1348"/>
    <w:rsid w:val="005A6B35"/>
    <w:rsid w:val="005B58C9"/>
    <w:rsid w:val="005C1AD1"/>
    <w:rsid w:val="005D167D"/>
    <w:rsid w:val="005F13A5"/>
    <w:rsid w:val="005F3FB3"/>
    <w:rsid w:val="006053E1"/>
    <w:rsid w:val="006174DD"/>
    <w:rsid w:val="00633221"/>
    <w:rsid w:val="00642DFB"/>
    <w:rsid w:val="006547B3"/>
    <w:rsid w:val="00675191"/>
    <w:rsid w:val="00676A82"/>
    <w:rsid w:val="006814D4"/>
    <w:rsid w:val="006850D3"/>
    <w:rsid w:val="00695C5F"/>
    <w:rsid w:val="006A2EB6"/>
    <w:rsid w:val="006F3CD9"/>
    <w:rsid w:val="00702D9F"/>
    <w:rsid w:val="00714395"/>
    <w:rsid w:val="00716E49"/>
    <w:rsid w:val="007337AD"/>
    <w:rsid w:val="00736999"/>
    <w:rsid w:val="00751FCF"/>
    <w:rsid w:val="00767D1E"/>
    <w:rsid w:val="007A22BC"/>
    <w:rsid w:val="007A2EF1"/>
    <w:rsid w:val="007B0428"/>
    <w:rsid w:val="007B7B10"/>
    <w:rsid w:val="007D390B"/>
    <w:rsid w:val="0081611D"/>
    <w:rsid w:val="008546CE"/>
    <w:rsid w:val="008A021D"/>
    <w:rsid w:val="008B1B25"/>
    <w:rsid w:val="008D7374"/>
    <w:rsid w:val="009042FD"/>
    <w:rsid w:val="00925E7F"/>
    <w:rsid w:val="00943783"/>
    <w:rsid w:val="0094790B"/>
    <w:rsid w:val="009965BD"/>
    <w:rsid w:val="009C4E4F"/>
    <w:rsid w:val="009E0455"/>
    <w:rsid w:val="009F4B54"/>
    <w:rsid w:val="009F6812"/>
    <w:rsid w:val="00A21F8B"/>
    <w:rsid w:val="00A62C85"/>
    <w:rsid w:val="00A67759"/>
    <w:rsid w:val="00A86413"/>
    <w:rsid w:val="00AA028E"/>
    <w:rsid w:val="00AF00B0"/>
    <w:rsid w:val="00B0735B"/>
    <w:rsid w:val="00B523A3"/>
    <w:rsid w:val="00B7423A"/>
    <w:rsid w:val="00B85056"/>
    <w:rsid w:val="00BD1777"/>
    <w:rsid w:val="00BE7B6E"/>
    <w:rsid w:val="00BF3FBA"/>
    <w:rsid w:val="00C0383B"/>
    <w:rsid w:val="00C05924"/>
    <w:rsid w:val="00C60B22"/>
    <w:rsid w:val="00C612B1"/>
    <w:rsid w:val="00C65574"/>
    <w:rsid w:val="00C7192C"/>
    <w:rsid w:val="00C94CC4"/>
    <w:rsid w:val="00CE23C2"/>
    <w:rsid w:val="00D37DC3"/>
    <w:rsid w:val="00D63B8E"/>
    <w:rsid w:val="00D66ED1"/>
    <w:rsid w:val="00D86CA3"/>
    <w:rsid w:val="00D906BA"/>
    <w:rsid w:val="00DC1689"/>
    <w:rsid w:val="00DC3391"/>
    <w:rsid w:val="00DC5587"/>
    <w:rsid w:val="00DD4C6E"/>
    <w:rsid w:val="00DE13EF"/>
    <w:rsid w:val="00E176F6"/>
    <w:rsid w:val="00E2245B"/>
    <w:rsid w:val="00E43D77"/>
    <w:rsid w:val="00E74BD0"/>
    <w:rsid w:val="00EA7EF7"/>
    <w:rsid w:val="00F10097"/>
    <w:rsid w:val="00F16D99"/>
    <w:rsid w:val="00F2487C"/>
    <w:rsid w:val="00F35824"/>
    <w:rsid w:val="00F45A1E"/>
    <w:rsid w:val="00F84C38"/>
    <w:rsid w:val="00F91B1F"/>
    <w:rsid w:val="00FA13DA"/>
    <w:rsid w:val="00FA7C98"/>
    <w:rsid w:val="00FE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B3139"/>
  <w15:chartTrackingRefBased/>
  <w15:docId w15:val="{E6F22258-DF6A-4694-8C5D-F3D14D3C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24"/>
    <w:rPr>
      <w:rFonts w:ascii="Cambria" w:hAnsi="Cambria"/>
      <w:sz w:val="26"/>
    </w:rPr>
  </w:style>
  <w:style w:type="paragraph" w:styleId="Heading1">
    <w:name w:val="heading 1"/>
    <w:basedOn w:val="Normal"/>
    <w:next w:val="Normal"/>
    <w:link w:val="Heading1Char"/>
    <w:uiPriority w:val="9"/>
    <w:qFormat/>
    <w:rsid w:val="005F13A5"/>
    <w:pPr>
      <w:spacing w:before="780" w:after="0"/>
      <w:ind w:left="-720" w:right="-720"/>
      <w:jc w:val="center"/>
      <w:outlineLvl w:val="0"/>
    </w:pPr>
    <w:rPr>
      <w:rFonts w:ascii="Bookman Old Style" w:hAnsi="Bookman Old Style"/>
      <w:color w:val="000000" w:themeColor="text1"/>
      <w:sz w:val="96"/>
      <w:szCs w:val="144"/>
      <w14:textOutline w14:w="3175" w14:cap="rnd" w14:cmpd="sng" w14:algn="ctr">
        <w14:solidFill>
          <w14:schemeClr w14:val="bg1">
            <w14:lumMod w14:val="65000"/>
          </w14:schemeClr>
        </w14:solidFill>
        <w14:prstDash w14:val="solid"/>
        <w14:bevel/>
      </w14:textOutline>
    </w:rPr>
  </w:style>
  <w:style w:type="paragraph" w:styleId="Heading2">
    <w:name w:val="heading 2"/>
    <w:basedOn w:val="Normal"/>
    <w:next w:val="Normal"/>
    <w:link w:val="Heading2Char"/>
    <w:uiPriority w:val="9"/>
    <w:unhideWhenUsed/>
    <w:qFormat/>
    <w:rsid w:val="002A7BDB"/>
    <w:pPr>
      <w:keepNext/>
      <w:keepLines/>
      <w:pBdr>
        <w:bottom w:val="single" w:sz="4" w:space="1" w:color="2F5496" w:themeColor="accent5" w:themeShade="BF"/>
      </w:pBdr>
      <w:spacing w:before="120" w:after="120" w:line="240" w:lineRule="auto"/>
      <w:outlineLvl w:val="1"/>
    </w:pPr>
    <w:rPr>
      <w:rFonts w:eastAsiaTheme="majorEastAsia" w:cstheme="majorBidi"/>
      <w:color w:val="2F5496" w:themeColor="accent5" w:themeShade="BF"/>
      <w:sz w:val="32"/>
      <w:szCs w:val="26"/>
    </w:rPr>
  </w:style>
  <w:style w:type="paragraph" w:styleId="Heading3">
    <w:name w:val="heading 3"/>
    <w:basedOn w:val="Normal"/>
    <w:next w:val="Normal"/>
    <w:link w:val="Heading3Char"/>
    <w:uiPriority w:val="9"/>
    <w:unhideWhenUsed/>
    <w:qFormat/>
    <w:rsid w:val="00C05924"/>
    <w:pPr>
      <w:keepNext/>
      <w:keepLines/>
      <w:spacing w:before="40" w:after="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99"/>
  </w:style>
  <w:style w:type="paragraph" w:styleId="Footer">
    <w:name w:val="footer"/>
    <w:basedOn w:val="Normal"/>
    <w:link w:val="FooterChar"/>
    <w:uiPriority w:val="99"/>
    <w:unhideWhenUsed/>
    <w:rsid w:val="00F1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99"/>
  </w:style>
  <w:style w:type="character" w:customStyle="1" w:styleId="Heading1Char">
    <w:name w:val="Heading 1 Char"/>
    <w:basedOn w:val="DefaultParagraphFont"/>
    <w:link w:val="Heading1"/>
    <w:uiPriority w:val="9"/>
    <w:rsid w:val="005F13A5"/>
    <w:rPr>
      <w:rFonts w:ascii="Bookman Old Style" w:hAnsi="Bookman Old Style"/>
      <w:color w:val="000000" w:themeColor="text1"/>
      <w:sz w:val="96"/>
      <w:szCs w:val="144"/>
      <w14:textOutline w14:w="3175" w14:cap="rnd" w14:cmpd="sng" w14:algn="ctr">
        <w14:solidFill>
          <w14:schemeClr w14:val="bg1">
            <w14:lumMod w14:val="65000"/>
          </w14:schemeClr>
        </w14:solidFill>
        <w14:prstDash w14:val="solid"/>
        <w14:bevel/>
      </w14:textOutline>
    </w:rPr>
  </w:style>
  <w:style w:type="character" w:customStyle="1" w:styleId="Heading2Char">
    <w:name w:val="Heading 2 Char"/>
    <w:basedOn w:val="DefaultParagraphFont"/>
    <w:link w:val="Heading2"/>
    <w:uiPriority w:val="9"/>
    <w:rsid w:val="002A7BDB"/>
    <w:rPr>
      <w:rFonts w:ascii="Cambria" w:eastAsiaTheme="majorEastAsia" w:hAnsi="Cambria" w:cstheme="majorBidi"/>
      <w:color w:val="2F5496" w:themeColor="accent5" w:themeShade="BF"/>
      <w:sz w:val="32"/>
      <w:szCs w:val="26"/>
    </w:rPr>
  </w:style>
  <w:style w:type="table" w:styleId="TableGrid">
    <w:name w:val="Table Grid"/>
    <w:basedOn w:val="TableNormal"/>
    <w:uiPriority w:val="39"/>
    <w:rsid w:val="0026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5924"/>
    <w:rPr>
      <w:rFonts w:ascii="Cambria" w:eastAsiaTheme="majorEastAsia" w:hAnsi="Cambria" w:cstheme="majorBidi"/>
      <w:b/>
      <w:sz w:val="26"/>
      <w:szCs w:val="24"/>
      <w:u w:val="single"/>
    </w:rPr>
  </w:style>
  <w:style w:type="table" w:styleId="PlainTable4">
    <w:name w:val="Plain Table 4"/>
    <w:basedOn w:val="TableNormal"/>
    <w:uiPriority w:val="44"/>
    <w:rsid w:val="002650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
    <w:name w:val="Table"/>
    <w:basedOn w:val="Heading2"/>
    <w:link w:val="TableChar"/>
    <w:qFormat/>
    <w:rsid w:val="006053E1"/>
    <w:rPr>
      <w:rFonts w:ascii="Franklin Gothic Book" w:hAnsi="Franklin Gothic Book"/>
      <w:color w:val="auto"/>
      <w:sz w:val="20"/>
      <w:szCs w:val="20"/>
    </w:rPr>
  </w:style>
  <w:style w:type="paragraph" w:styleId="ListParagraph">
    <w:name w:val="List Paragraph"/>
    <w:basedOn w:val="Normal"/>
    <w:uiPriority w:val="34"/>
    <w:qFormat/>
    <w:rsid w:val="009F6812"/>
    <w:pPr>
      <w:ind w:left="720"/>
      <w:contextualSpacing/>
    </w:pPr>
  </w:style>
  <w:style w:type="character" w:customStyle="1" w:styleId="TableChar">
    <w:name w:val="Table Char"/>
    <w:basedOn w:val="Heading2Char"/>
    <w:link w:val="Table"/>
    <w:rsid w:val="006053E1"/>
    <w:rPr>
      <w:rFonts w:ascii="Franklin Gothic Book" w:eastAsiaTheme="majorEastAsia" w:hAnsi="Franklin Gothic Book" w:cstheme="majorBidi"/>
      <w:color w:val="70AD47" w:themeColor="accent6"/>
      <w:sz w:val="20"/>
      <w:szCs w:val="20"/>
    </w:rPr>
  </w:style>
  <w:style w:type="character" w:styleId="Hyperlink">
    <w:name w:val="Hyperlink"/>
    <w:basedOn w:val="DefaultParagraphFont"/>
    <w:uiPriority w:val="99"/>
    <w:unhideWhenUsed/>
    <w:rsid w:val="009965BD"/>
    <w:rPr>
      <w:color w:val="2E74B5" w:themeColor="accent1" w:themeShade="BF"/>
      <w:u w:val="none"/>
    </w:rPr>
  </w:style>
  <w:style w:type="character" w:styleId="CommentReference">
    <w:name w:val="annotation reference"/>
    <w:rsid w:val="00201511"/>
    <w:rPr>
      <w:sz w:val="16"/>
      <w:szCs w:val="16"/>
    </w:rPr>
  </w:style>
  <w:style w:type="paragraph" w:styleId="CommentText">
    <w:name w:val="annotation text"/>
    <w:basedOn w:val="Normal"/>
    <w:link w:val="CommentTextChar"/>
    <w:rsid w:val="00201511"/>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201511"/>
    <w:rPr>
      <w:rFonts w:ascii="Arial" w:eastAsia="Times New Roman" w:hAnsi="Arial" w:cs="Arial"/>
      <w:sz w:val="20"/>
      <w:szCs w:val="20"/>
    </w:rPr>
  </w:style>
  <w:style w:type="paragraph" w:styleId="BodyText">
    <w:name w:val="Body Text"/>
    <w:basedOn w:val="Normal"/>
    <w:link w:val="BodyTextChar"/>
    <w:rsid w:val="00714395"/>
    <w:pPr>
      <w:spacing w:after="120" w:line="240" w:lineRule="auto"/>
    </w:pPr>
    <w:rPr>
      <w:rFonts w:ascii="Times New Roman" w:eastAsia="Times New Roman" w:hAnsi="Times New Roman" w:cs="Times New Roman"/>
      <w:szCs w:val="26"/>
    </w:rPr>
  </w:style>
  <w:style w:type="character" w:customStyle="1" w:styleId="BodyTextChar">
    <w:name w:val="Body Text Char"/>
    <w:basedOn w:val="DefaultParagraphFont"/>
    <w:link w:val="BodyText"/>
    <w:rsid w:val="00714395"/>
    <w:rPr>
      <w:rFonts w:ascii="Times New Roman" w:eastAsia="Times New Roman" w:hAnsi="Times New Roman" w:cs="Times New Roman"/>
      <w:sz w:val="26"/>
      <w:szCs w:val="26"/>
    </w:rPr>
  </w:style>
  <w:style w:type="paragraph" w:styleId="NormalWeb">
    <w:name w:val="Normal (Web)"/>
    <w:basedOn w:val="Normal"/>
    <w:uiPriority w:val="99"/>
    <w:unhideWhenUsed/>
    <w:rsid w:val="007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z-cp-color1">
    <w:name w:val="brz-cp-color1"/>
    <w:rsid w:val="00714395"/>
    <w:rPr>
      <w:sz w:val="24"/>
      <w:szCs w:val="24"/>
      <w:bdr w:val="none" w:sz="0" w:space="0" w:color="auto" w:frame="1"/>
      <w:vertAlign w:val="baseline"/>
    </w:rPr>
  </w:style>
  <w:style w:type="table" w:styleId="PlainTable5">
    <w:name w:val="Plain Table 5"/>
    <w:basedOn w:val="TableNormal"/>
    <w:uiPriority w:val="45"/>
    <w:rsid w:val="00B85056"/>
    <w:pPr>
      <w:spacing w:after="0" w:line="240" w:lineRule="auto"/>
    </w:pPr>
    <w:tblPr>
      <w:tblStyleRowBandSize w:val="1"/>
      <w:tblStyleColBandSize w:val="1"/>
    </w:tblPr>
    <w:tblStylePr w:type="firstRow">
      <w:rPr>
        <w:rFonts w:ascii="Cambria" w:eastAsiaTheme="majorEastAsia" w:hAnsi="Cambria" w:cstheme="majorBidi"/>
        <w:b/>
        <w:i w:val="0"/>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DC1689"/>
    <w:pPr>
      <w:spacing w:after="160"/>
    </w:pPr>
    <w:rPr>
      <w:rFonts w:ascii="Cambria" w:eastAsiaTheme="minorHAnsi" w:hAnsi="Cambria" w:cstheme="minorBidi"/>
      <w:b/>
      <w:bCs/>
    </w:rPr>
  </w:style>
  <w:style w:type="character" w:customStyle="1" w:styleId="CommentSubjectChar">
    <w:name w:val="Comment Subject Char"/>
    <w:basedOn w:val="CommentTextChar"/>
    <w:link w:val="CommentSubject"/>
    <w:uiPriority w:val="99"/>
    <w:semiHidden/>
    <w:rsid w:val="00DC1689"/>
    <w:rPr>
      <w:rFonts w:ascii="Cambria" w:eastAsia="Times New Roman" w:hAnsi="Cambria" w:cs="Arial"/>
      <w:b/>
      <w:bCs/>
      <w:sz w:val="20"/>
      <w:szCs w:val="20"/>
    </w:rPr>
  </w:style>
  <w:style w:type="character" w:customStyle="1" w:styleId="UnresolvedMention1">
    <w:name w:val="Unresolved Mention1"/>
    <w:basedOn w:val="DefaultParagraphFont"/>
    <w:uiPriority w:val="99"/>
    <w:semiHidden/>
    <w:unhideWhenUsed/>
    <w:rsid w:val="009E0455"/>
    <w:rPr>
      <w:color w:val="605E5C"/>
      <w:shd w:val="clear" w:color="auto" w:fill="E1DFDD"/>
    </w:rPr>
  </w:style>
  <w:style w:type="paragraph" w:styleId="BalloonText">
    <w:name w:val="Balloon Text"/>
    <w:basedOn w:val="Normal"/>
    <w:link w:val="BalloonTextChar"/>
    <w:uiPriority w:val="99"/>
    <w:semiHidden/>
    <w:unhideWhenUsed/>
    <w:rsid w:val="0039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2DC"/>
    <w:rPr>
      <w:rFonts w:ascii="Segoe UI" w:hAnsi="Segoe UI" w:cs="Segoe UI"/>
      <w:sz w:val="18"/>
      <w:szCs w:val="18"/>
    </w:rPr>
  </w:style>
  <w:style w:type="character" w:customStyle="1" w:styleId="UnresolvedMention2">
    <w:name w:val="Unresolved Mention2"/>
    <w:basedOn w:val="DefaultParagraphFont"/>
    <w:uiPriority w:val="99"/>
    <w:semiHidden/>
    <w:unhideWhenUsed/>
    <w:rsid w:val="00FA7C98"/>
    <w:rPr>
      <w:color w:val="605E5C"/>
      <w:shd w:val="clear" w:color="auto" w:fill="E1DFDD"/>
    </w:rPr>
  </w:style>
  <w:style w:type="character" w:styleId="FollowedHyperlink">
    <w:name w:val="FollowedHyperlink"/>
    <w:basedOn w:val="DefaultParagraphFont"/>
    <w:uiPriority w:val="99"/>
    <w:semiHidden/>
    <w:unhideWhenUsed/>
    <w:rsid w:val="002A33FD"/>
    <w:rPr>
      <w:color w:val="954F72" w:themeColor="followedHyperlink"/>
      <w:u w:val="single"/>
    </w:rPr>
  </w:style>
  <w:style w:type="paragraph" w:styleId="NoSpacing">
    <w:name w:val="No Spacing"/>
    <w:uiPriority w:val="1"/>
    <w:qFormat/>
    <w:rsid w:val="00FA13DA"/>
    <w:pPr>
      <w:spacing w:after="0" w:line="240" w:lineRule="auto"/>
    </w:pPr>
    <w:rPr>
      <w:rFonts w:ascii="Cambria" w:hAnsi="Cambria"/>
    </w:rPr>
  </w:style>
  <w:style w:type="character" w:customStyle="1" w:styleId="UnresolvedMention3">
    <w:name w:val="Unresolved Mention3"/>
    <w:basedOn w:val="DefaultParagraphFont"/>
    <w:uiPriority w:val="99"/>
    <w:semiHidden/>
    <w:unhideWhenUsed/>
    <w:rsid w:val="005F3FB3"/>
    <w:rPr>
      <w:color w:val="605E5C"/>
      <w:shd w:val="clear" w:color="auto" w:fill="E1DFDD"/>
    </w:rPr>
  </w:style>
  <w:style w:type="paragraph" w:styleId="Quote">
    <w:name w:val="Quote"/>
    <w:basedOn w:val="Normal"/>
    <w:link w:val="QuoteChar"/>
    <w:uiPriority w:val="29"/>
    <w:qFormat/>
    <w:rsid w:val="005F13A5"/>
    <w:pPr>
      <w:shd w:val="clear" w:color="auto" w:fill="E2EFD9"/>
      <w:spacing w:before="360" w:after="360" w:line="240" w:lineRule="auto"/>
      <w:ind w:left="864" w:right="864"/>
      <w:jc w:val="center"/>
    </w:pPr>
    <w:rPr>
      <w:rFonts w:cs="Calibri"/>
      <w:i/>
      <w:iCs/>
      <w:color w:val="404040"/>
    </w:rPr>
  </w:style>
  <w:style w:type="character" w:customStyle="1" w:styleId="QuoteChar">
    <w:name w:val="Quote Char"/>
    <w:basedOn w:val="DefaultParagraphFont"/>
    <w:link w:val="Quote"/>
    <w:uiPriority w:val="29"/>
    <w:rsid w:val="005F13A5"/>
    <w:rPr>
      <w:rFonts w:ascii="Cambria" w:hAnsi="Cambria" w:cs="Calibri"/>
      <w:i/>
      <w:iCs/>
      <w:color w:val="404040"/>
      <w:shd w:val="clear" w:color="auto" w:fill="E2EF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8404">
      <w:bodyDiv w:val="1"/>
      <w:marLeft w:val="0"/>
      <w:marRight w:val="0"/>
      <w:marTop w:val="0"/>
      <w:marBottom w:val="0"/>
      <w:divBdr>
        <w:top w:val="none" w:sz="0" w:space="0" w:color="auto"/>
        <w:left w:val="none" w:sz="0" w:space="0" w:color="auto"/>
        <w:bottom w:val="none" w:sz="0" w:space="0" w:color="auto"/>
        <w:right w:val="none" w:sz="0" w:space="0" w:color="auto"/>
      </w:divBdr>
    </w:div>
    <w:div w:id="1176725653">
      <w:bodyDiv w:val="1"/>
      <w:marLeft w:val="0"/>
      <w:marRight w:val="0"/>
      <w:marTop w:val="0"/>
      <w:marBottom w:val="0"/>
      <w:divBdr>
        <w:top w:val="none" w:sz="0" w:space="0" w:color="auto"/>
        <w:left w:val="none" w:sz="0" w:space="0" w:color="auto"/>
        <w:bottom w:val="none" w:sz="0" w:space="0" w:color="auto"/>
        <w:right w:val="none" w:sz="0" w:space="0" w:color="auto"/>
      </w:divBdr>
    </w:div>
    <w:div w:id="1271622904">
      <w:bodyDiv w:val="1"/>
      <w:marLeft w:val="0"/>
      <w:marRight w:val="0"/>
      <w:marTop w:val="0"/>
      <w:marBottom w:val="0"/>
      <w:divBdr>
        <w:top w:val="none" w:sz="0" w:space="0" w:color="auto"/>
        <w:left w:val="none" w:sz="0" w:space="0" w:color="auto"/>
        <w:bottom w:val="none" w:sz="0" w:space="0" w:color="auto"/>
        <w:right w:val="none" w:sz="0" w:space="0" w:color="auto"/>
      </w:divBdr>
    </w:div>
    <w:div w:id="1330865339">
      <w:bodyDiv w:val="1"/>
      <w:marLeft w:val="0"/>
      <w:marRight w:val="0"/>
      <w:marTop w:val="0"/>
      <w:marBottom w:val="0"/>
      <w:divBdr>
        <w:top w:val="none" w:sz="0" w:space="0" w:color="auto"/>
        <w:left w:val="none" w:sz="0" w:space="0" w:color="auto"/>
        <w:bottom w:val="none" w:sz="0" w:space="0" w:color="auto"/>
        <w:right w:val="none" w:sz="0" w:space="0" w:color="auto"/>
      </w:divBdr>
    </w:div>
    <w:div w:id="14051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a.alaska.gov/drb/reti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a.alaska.gov/calend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id.gov/manage-loans/forgiveness-cancellation/public-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w.alaska.gov/" TargetMode="External"/><Relationship Id="rId4" Type="http://schemas.openxmlformats.org/officeDocument/2006/relationships/settings" Target="settings.xml"/><Relationship Id="rId9" Type="http://schemas.openxmlformats.org/officeDocument/2006/relationships/hyperlink" Target="https://law.alaska.gov/department/civil/civil.html" TargetMode="External"/><Relationship Id="rId14" Type="http://schemas.openxmlformats.org/officeDocument/2006/relationships/hyperlink" Target="mailto:civil.recruit@alaska.gov?subject=application%20for%20current%20attorney%20recruit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BABE-7959-4A72-A831-1AB1516D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We're Hiring at the Alaska Department of Law</vt:lpstr>
    </vt:vector>
  </TitlesOfParts>
  <Company>State of Alaska - Dept of Law</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Hiring at the Alaska Department of Law</dc:title>
  <dc:subject/>
  <dc:creator>Sheena E Scott</dc:creator>
  <cp:keywords/>
  <dc:description/>
  <cp:lastModifiedBy>West, Kelly M (LAW)</cp:lastModifiedBy>
  <cp:revision>6</cp:revision>
  <cp:lastPrinted>2022-05-02T15:47:00Z</cp:lastPrinted>
  <dcterms:created xsi:type="dcterms:W3CDTF">2023-02-23T21:59:00Z</dcterms:created>
  <dcterms:modified xsi:type="dcterms:W3CDTF">2023-02-23T22:03:00Z</dcterms:modified>
</cp:coreProperties>
</file>